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0F1729"/>
          <w:sz w:val="36"/>
          <w:szCs w:val="36"/>
        </w:rPr>
        <w:t xml:space="preserve">Patient Journey Self-Assessment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C9A84C"/>
          <w:sz w:val="24"/>
          <w:szCs w:val="24"/>
        </w:rPr>
        <w:t xml:space="preserve">Practice Operations Scorecard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Rate your practice 1–5 at each stage of the patient journey. Identify where SOPs exist, where data is tracked, and where gaps create risk.</w:t>
      </w:r>
    </w:p>
    <w:p>
      <w:pPr>
        <w:pBdr>
          <w:bottom w:val="single" w:color="C9A84C" w:sz="2" w:space="4"/>
        </w:pBdr>
        <w:spacing w:after="60"/>
      </w:pPr>
      <w:r>
        <w:rPr>
          <w:rFonts w:ascii="Arial" w:cs="Arial" w:eastAsia="Arial" w:hAnsi="Arial"/>
          <w:b/>
          <w:bCs/>
          <w:color w:val="C9A84C"/>
          <w:sz w:val="20"/>
          <w:szCs w:val="20"/>
        </w:rPr>
        <w:t xml:space="preserve">SCORING KEY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88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E2E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1729"/>
                <w:sz w:val="22"/>
                <w:szCs w:val="22"/>
              </w:rPr>
              <w:t xml:space="preserve">1</w:t>
            </w:r>
          </w:p>
        </w:tc>
        <w:tc>
          <w:tcPr>
            <w:tcW w:type="dxa" w:w="8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No SOP, no data. This area is completely unmanaged.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1729"/>
                <w:sz w:val="22"/>
                <w:szCs w:val="22"/>
              </w:rPr>
              <w:t xml:space="preserve">2</w:t>
            </w:r>
          </w:p>
        </w:tc>
        <w:tc>
          <w:tcPr>
            <w:tcW w:type="dxa" w:w="8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Informal process exists but no written SOP, no tracking.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1729"/>
                <w:sz w:val="22"/>
                <w:szCs w:val="22"/>
              </w:rPr>
              <w:t xml:space="preserve">3</w:t>
            </w:r>
          </w:p>
        </w:tc>
        <w:tc>
          <w:tcPr>
            <w:tcW w:type="dxa" w:w="8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SOP exists but compliance is inconsistent. Some data tracked.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1729"/>
                <w:sz w:val="22"/>
                <w:szCs w:val="22"/>
              </w:rPr>
              <w:t xml:space="preserve">4</w:t>
            </w:r>
          </w:p>
        </w:tc>
        <w:tc>
          <w:tcPr>
            <w:tcW w:type="dxa" w:w="8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SOP in place with regular tracking. Minor compliance gaps.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FCE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1729"/>
                <w:sz w:val="22"/>
                <w:szCs w:val="22"/>
              </w:rPr>
              <w:t xml:space="preserve">5</w:t>
            </w:r>
          </w:p>
        </w:tc>
        <w:tc>
          <w:tcPr>
            <w:tcW w:type="dxa" w:w="8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Defined SOPs with KPIs, full tracking, and team-wide compliance.</w:t>
            </w:r>
          </w:p>
        </w:tc>
      </w:tr>
    </w:tbl>
    <w:p>
      <w:pPr>
        <w:spacing w:before="100" w:after="60"/>
      </w:pP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Diagnosis logic: If score is low due to (a) people not following the SOP → accountability issue. If due to (b) the SOP itself not working → strategy issue. Datapoints connect to SOPs. SOPs are managed for adherence and effectiveness.</w:t>
      </w:r>
    </w:p>
    <w:p>
      <w:pPr>
        <w:spacing w:before="2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080"/>
        <w:gridCol w:w="4800"/>
      </w:tblGrid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64748B"/>
                <w:sz w:val="18"/>
                <w:szCs w:val="18"/>
              </w:rPr>
              <w:t xml:space="preserve">Datapoint / KPI Area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4748B"/>
                <w:sz w:val="16"/>
                <w:szCs w:val="16"/>
              </w:rPr>
              <w:t xml:space="preserve">Score
(1-5)</w:t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64748B"/>
                <w:sz w:val="18"/>
                <w:szCs w:val="18"/>
              </w:rPr>
              <w:t xml:space="preserve">Notes / Action Items</w:t>
            </w:r>
          </w:p>
        </w:tc>
      </w:tr>
      <w:tr>
        <w:tc>
          <w:tcPr>
            <w:tcW w:type="dxa" w:w="1008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72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INTERESTED PATIENT (MARKETING &amp; ACQUISITION)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Impressions (brand visibility)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Clicks (engagement rate)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Calls / Submissions (conversions)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72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NEW PATIENT EXPERIENCE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Physical Building (Evidence-Based Design Elements)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New Patients Scheduled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ind w:left="300"/>
            </w:pPr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• Referral Source Tracking &amp; ROI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New Patient Appointments Completed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New Patient Retention (returned for 2nd visit)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72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BROKEN APPOINTMENTS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Appointments Scheduled vs. Confirmed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Appointments Completed (show rate)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Cancellation / No-Show Recovery Protocol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72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COMPLETED APPOINTMENTS — BILLABLE PROCEDURES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Restorative Production Tracking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72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COMPLETED APPOINTMENTS — HYGIENE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Prophy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Gingivitis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Perio Maintenance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Perio Non-Surgical (SRP)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Perio Surgical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72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COMPLETED APPOINTMENTS — EXAMS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Comprehensive Exams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Periodic Exams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Limited Exams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72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COMPLETED APPOINTMENTS — NON-BILLABLE PROCEDURES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Adjunctive Services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Elective Services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Upcoding Patterns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Group Codes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72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PATIENT RETENTION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New Patient Reappointment Rate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Hygiene Reappointment Rate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Unscheduled Patients: 0–6 months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Unscheduled Patients: 6–12 months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Unscheduled Patients: 12–18 months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Unscheduled Patients: 18+ months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72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COLLECTIONS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Collections % (of production)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Patient A/R: Total Balance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Patient A/R: Collections Ratio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Patient A/R: Trend (Current / 30 / 60 / 90+)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Insurance A/R: Claims Over 30 Days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Insurance A/R: Average Claim Age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72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PROFITABILITY — EBITDA NORMALIZATION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Hard Addbacks Identified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Soft Addbacks Identified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Current Market Rate for Team Members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72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PROFITABILITY — BUDGET &amp; BENCHMARKING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Current Expenses vs. 25% EBITDA Benchmark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Owner Comp vs. Associate Comp Benchmark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72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COMPLIANCE &amp; SCALABILITY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Owner Dependency — SOPs for all processes w/ adherence KPIs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Auditable Revenue — Clinical procedures vs. insurance benchmarks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Scalable Hiring — Associate structures (anomalies / misclassification)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One System for All — Software consistency across locations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72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FORECASTING &amp; VALUATION IMPACT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Forecast: Current Income − Expenses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Forecast: Optimized Practice (+ Growth Opp − Variable Exp)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3-Tier Revenue Range (Baseline / Growth / Risk)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Patient Journey Benchmarking &amp; Quantification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Risk Analysis: Phantom EBITDA Identified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Valuation Impact: EBITDA Growth Forecasted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2440"/>
                <w:sz w:val="18"/>
                <w:szCs w:val="18"/>
              </w:rPr>
              <w:t xml:space="preserve">Valuation Impact: Compliance Debt Quantified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</w:p>
    <w:p>
      <w:pPr>
        <w:pBdr>
          <w:bottom w:val="single" w:color="C9A84C" w:sz="2" w:space="4"/>
        </w:pBdr>
        <w:spacing w:after="100"/>
      </w:pPr>
      <w:r>
        <w:rPr>
          <w:rFonts w:ascii="Arial" w:cs="Arial" w:eastAsia="Arial" w:hAnsi="Arial"/>
          <w:b/>
          <w:bCs/>
          <w:color w:val="C9A84C"/>
          <w:sz w:val="20"/>
          <w:szCs w:val="20"/>
        </w:rPr>
        <w:t xml:space="preserve">ASSESSMENT SUMMARY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18"/>
                <w:szCs w:val="18"/>
              </w:rPr>
              <w:t xml:space="preserve">Date Completed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18"/>
                <w:szCs w:val="18"/>
              </w:rPr>
              <w:t xml:space="preserve">Assessed By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18"/>
                <w:szCs w:val="18"/>
              </w:rPr>
              <w:t xml:space="preserve">Total Score (out of 275)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18"/>
                <w:szCs w:val="18"/>
              </w:rPr>
              <w:t xml:space="preserve">Top 3 Priority Areas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18"/>
                <w:szCs w:val="18"/>
              </w:rPr>
              <w:t xml:space="preserve">Accountability Issues Identified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18"/>
                <w:szCs w:val="18"/>
              </w:rPr>
              <w:t xml:space="preserve">Strategy Issues Identified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</w:p>
    <w:p>
      <w:pPr>
        <w:jc w:val="center"/>
      </w:pPr>
      <w:r>
        <w:rPr>
          <w:rFonts w:ascii="Arial" w:cs="Arial" w:eastAsia="Arial" w:hAnsi="Arial"/>
          <w:i/>
          <w:iCs/>
          <w:color w:val="64748B"/>
          <w:sz w:val="16"/>
          <w:szCs w:val="16"/>
        </w:rPr>
        <w:t xml:space="preserve">© Precision Dental Analytics  |  precisiondentalanalytics.com</w:t>
      </w:r>
    </w:p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4748B"/>
        <w:sz w:val="14"/>
        <w:szCs w:val="14"/>
      </w:rPr>
      <w:t xml:space="preserve">Confidential  |  precisiondentalanalytics.com  |  Page </w:t>
    </w:r>
    <w:r>
      <w:rPr>
        <w:rFonts w:ascii="Arial" w:cs="Arial" w:eastAsia="Arial" w:hAnsi="Arial"/>
        <w:color w:val="64748B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b/>
        <w:bCs/>
        <w:color w:val="C9A84C"/>
        <w:sz w:val="16"/>
        <w:szCs w:val="16"/>
      </w:rPr>
      <w:t xml:space="preserve">PRECISION DENTAL ANALYTICS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2026-03-20T14:14:30.676Z</dcterms:created>
  <dcterms:modified xsi:type="dcterms:W3CDTF">2026-03-20T14:14:30.676Z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